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7257"/>
        <w:gridCol w:w="2551"/>
      </w:tblGrid>
      <w:tr>
        <w:tc>
          <w:tcPr>
            <w:tcW w:type="dxa" w:w="5270"/>
            <w:shd w:fill="2F6B24"/>
            <w:tcMar>
              <w:top w:w="240" w:type="dxa"/>
              <w:start w:w="240" w:type="dxa"/>
              <w:bottom w:w="220" w:type="dxa"/>
              <w:end w:w="240" w:type="dxa"/>
            </w:tcMar>
          </w:tcPr>
          <w:p>
            <w:r>
              <w:rPr>
                <w:rFonts w:ascii="DejaVu Sans" w:hAnsi="DejaVu Sans"/>
                <w:b/>
                <w:color w:val="FFFFFF"/>
                <w:sz w:val="26"/>
              </w:rPr>
              <w:t>PROJET PÉDAGOGIQUE</w:t>
            </w:r>
          </w:p>
          <w:p>
            <w:pPr>
              <w:spacing w:after="60"/>
            </w:pPr>
            <w:r>
              <w:rPr>
                <w:rFonts w:ascii="DejaVu Sans" w:hAnsi="DejaVu Sans"/>
                <w:b/>
                <w:color w:val="FFFFFF"/>
                <w:sz w:val="50"/>
              </w:rPr>
              <w:t>SORTIE ACCROBRANCHE</w:t>
            </w:r>
          </w:p>
          <w:p>
            <w:r>
              <w:rPr>
                <w:rFonts w:ascii="DejaVu Sans" w:hAnsi="DejaVu Sans"/>
                <w:b/>
                <w:color w:val="FFD33D"/>
                <w:sz w:val="28"/>
              </w:rPr>
              <w:t>Collèges &amp; lycées</w:t>
            </w:r>
          </w:p>
        </w:tc>
        <w:tc>
          <w:tcPr>
            <w:tcW w:type="dxa" w:w="5270"/>
            <w:vAlign w:val="center"/>
          </w:tcPr>
          <w:p>
            <w:pPr>
              <w:jc w:val="center"/>
            </w:pPr>
            <w:r>
              <w:drawing>
                <wp:inline xmlns:a="http://schemas.openxmlformats.org/drawingml/2006/main" xmlns:pic="http://schemas.openxmlformats.org/drawingml/2006/picture">
                  <wp:extent cx="1440000" cy="1440000"/>
                  <wp:docPr id="1" name="Picture 1"/>
                  <wp:cNvGraphicFramePr>
                    <a:graphicFrameLocks noChangeAspect="1"/>
                  </wp:cNvGraphicFramePr>
                  <a:graphic>
                    <a:graphicData uri="http://schemas.openxmlformats.org/drawingml/2006/picture">
                      <pic:pic>
                        <pic:nvPicPr>
                          <pic:cNvPr id="0" name="logo1200-fond-blanc(1).png"/>
                          <pic:cNvPicPr/>
                        </pic:nvPicPr>
                        <pic:blipFill>
                          <a:blip r:embed="rId10"/>
                          <a:stretch>
                            <a:fillRect/>
                          </a:stretch>
                        </pic:blipFill>
                        <pic:spPr>
                          <a:xfrm>
                            <a:off x="0" y="0"/>
                            <a:ext cx="1440000" cy="1440000"/>
                          </a:xfrm>
                          <a:prstGeom prst="rect"/>
                        </pic:spPr>
                      </pic:pic>
                    </a:graphicData>
                  </a:graphic>
                </wp:inline>
              </w:drawing>
            </w:r>
          </w:p>
        </w:tc>
      </w:tr>
    </w:tbl>
    <w:p>
      <w:pPr>
        <w:spacing w:after="60"/>
      </w:pPr>
    </w:p>
    <w:p>
      <w:pPr>
        <w:jc w:val="center"/>
      </w:pPr>
      <w:r>
        <w:drawing>
          <wp:inline xmlns:a="http://schemas.openxmlformats.org/drawingml/2006/main" xmlns:pic="http://schemas.openxmlformats.org/drawingml/2006/picture">
            <wp:extent cx="6228000" cy="4150986"/>
            <wp:docPr id="2" name="Picture 2"/>
            <wp:cNvGraphicFramePr>
              <a:graphicFrameLocks noChangeAspect="1"/>
            </wp:cNvGraphicFramePr>
            <a:graphic>
              <a:graphicData uri="http://schemas.openxmlformats.org/drawingml/2006/picture">
                <pic:pic>
                  <pic:nvPicPr>
                    <pic:cNvPr id="0" name="10 06 26 Passerelles des cîmes (27) web.jpg"/>
                    <pic:cNvPicPr/>
                  </pic:nvPicPr>
                  <pic:blipFill>
                    <a:blip r:embed="rId11"/>
                    <a:stretch>
                      <a:fillRect/>
                    </a:stretch>
                  </pic:blipFill>
                  <pic:spPr>
                    <a:xfrm>
                      <a:off x="0" y="0"/>
                      <a:ext cx="6228000" cy="4150986"/>
                    </a:xfrm>
                    <a:prstGeom prst="rect"/>
                  </pic:spPr>
                </pic:pic>
              </a:graphicData>
            </a:graphic>
          </wp:inline>
        </w:drawing>
      </w:r>
    </w:p>
    <w:p>
      <w:pPr>
        <w:spacing w:after="160"/>
        <w:jc w:val="center"/>
      </w:pPr>
      <w:r>
        <w:rPr>
          <w:rFonts w:ascii="DejaVu Sans" w:hAnsi="DejaVu Sans"/>
          <w:b/>
          <w:color w:val="6A260F"/>
          <w:sz w:val="28"/>
        </w:rPr>
        <w:t>Une classe. Une équipe. Une aventure.</w:t>
      </w:r>
    </w:p>
    <w:tbl>
      <w:tblPr>
        <w:tblW w:type="auto" w:w="0"/>
        <w:jc w:val="center"/>
        <w:tblLayout w:type="fixed"/>
        <w:tblLook w:firstColumn="1" w:firstRow="1" w:lastColumn="0" w:lastRow="0" w:noHBand="0" w:noVBand="1" w:val="04A0"/>
      </w:tblPr>
      <w:tblGrid>
        <w:gridCol w:w="9865"/>
      </w:tblGrid>
      <w:tr>
        <w:tc>
          <w:tcPr>
            <w:tcW w:type="dxa" w:w="10540"/>
            <w:shd w:fill="EEF4E3"/>
            <w:tcMar>
              <w:top w:w="150" w:type="dxa"/>
              <w:start w:w="180" w:type="dxa"/>
              <w:bottom w:w="150" w:type="dxa"/>
              <w:end w:w="180" w:type="dxa"/>
            </w:tcMar>
          </w:tcPr>
          <w:p>
            <w:pPr>
              <w:spacing w:after="80"/>
            </w:pPr>
            <w:r>
              <w:rPr>
                <w:rFonts w:ascii="DejaVu Sans" w:hAnsi="DejaVu Sans"/>
                <w:b/>
                <w:color w:val="2E641D"/>
                <w:sz w:val="22"/>
              </w:rPr>
              <w:t>Un support prêt à l’emploi pour l’équipe éducative</w:t>
            </w:r>
          </w:p>
          <w:p>
            <w:pPr>
              <w:spacing w:after="0"/>
            </w:pPr>
            <w:r>
              <w:rPr>
                <w:rFonts w:ascii="DejaVu Sans" w:hAnsi="DejaVu Sans"/>
                <w:b w:val="0"/>
                <w:color w:val="333333"/>
                <w:sz w:val="18"/>
              </w:rPr>
              <w:t>Ce document propose des arguments pédagogiques, des objectifs et deux trames de projet que les enseignants peuvent reprendre, adapter ou intégrer à leur propre dossier de sortie. L’objectif n’est pas de présenter l’accrobranche comme un simple loisir, mais comme une situation éducative mobilisant activité physique, respect des règles, autonomie, coopération et connaissance de soi.</w:t>
            </w:r>
          </w:p>
        </w:tc>
      </w:tr>
    </w:tbl>
    <w:p>
      <w:pPr>
        <w:spacing w:after="20"/>
      </w:pPr>
    </w:p>
    <w:p>
      <w:r>
        <w:br w:type="page"/>
      </w:r>
    </w:p>
    <w:p>
      <w:pPr>
        <w:pStyle w:val="Heading1"/>
        <w:keepNext/>
      </w:pPr>
      <w:r>
        <w:rPr>
          <w:rFonts w:ascii="DejaVu Sans" w:hAnsi="DejaVu Sans"/>
          <w:b/>
          <w:color w:val="2E641D"/>
          <w:sz w:val="36"/>
        </w:rPr>
        <w:t>7 bénéfices éducatifs à mobiliser dans le projet</w:t>
      </w:r>
    </w:p>
    <w:tbl>
      <w:tblPr>
        <w:tblW w:type="auto" w:w="0"/>
        <w:jc w:val="center"/>
        <w:tblLayout w:type="fixed"/>
        <w:tblLook w:firstColumn="1" w:firstRow="1" w:lastColumn="0" w:lastRow="0" w:noHBand="0" w:noVBand="1" w:val="04A0"/>
      </w:tblPr>
      <w:tblGrid>
        <w:gridCol w:w="9865"/>
      </w:tblGrid>
      <w:tr>
        <w:tc>
          <w:tcPr>
            <w:tcW w:type="dxa" w:w="10540"/>
            <w:shd w:fill="F3F6ED"/>
            <w:tcMar>
              <w:top w:w="150" w:type="dxa"/>
              <w:start w:w="180" w:type="dxa"/>
              <w:bottom w:w="150" w:type="dxa"/>
              <w:end w:w="180" w:type="dxa"/>
            </w:tcMar>
          </w:tcPr>
          <w:p>
            <w:pPr>
              <w:spacing w:after="80"/>
            </w:pPr>
            <w:r>
              <w:rPr>
                <w:rFonts w:ascii="DejaVu Sans" w:hAnsi="DejaVu Sans"/>
                <w:b/>
                <w:color w:val="2E641D"/>
                <w:sz w:val="22"/>
              </w:rPr>
              <w:t>1. Écouter, comprendre et respecter des règles</w:t>
            </w:r>
          </w:p>
          <w:p>
            <w:pPr>
              <w:spacing w:after="0"/>
            </w:pPr>
            <w:r>
              <w:rPr>
                <w:rFonts w:ascii="DejaVu Sans" w:hAnsi="DejaVu Sans"/>
                <w:b w:val="0"/>
                <w:color w:val="333333"/>
                <w:sz w:val="18"/>
              </w:rPr>
              <w:t>Avant l’activité, l’élève reçoit des consignes de sécurité et apprend à utiliser son équipement. Il doit ensuite appliquer ces règles dans l’action. L’enjeu éducatif est de passer d’une règle entendue à une règle comprise, respectée et intégrée.</w:t>
            </w:r>
          </w:p>
        </w:tc>
      </w:tr>
    </w:tbl>
    <w:p>
      <w:pPr>
        <w:spacing w:after="20"/>
      </w:pPr>
    </w:p>
    <w:tbl>
      <w:tblPr>
        <w:tblW w:type="auto" w:w="0"/>
        <w:jc w:val="center"/>
        <w:tblLayout w:type="fixed"/>
        <w:tblLook w:firstColumn="1" w:firstRow="1" w:lastColumn="0" w:lastRow="0" w:noHBand="0" w:noVBand="1" w:val="04A0"/>
      </w:tblPr>
      <w:tblGrid>
        <w:gridCol w:w="9865"/>
      </w:tblGrid>
      <w:tr>
        <w:tc>
          <w:tcPr>
            <w:tcW w:type="dxa" w:w="10540"/>
            <w:shd w:fill="FFF9E7"/>
            <w:tcMar>
              <w:top w:w="150" w:type="dxa"/>
              <w:start w:w="180" w:type="dxa"/>
              <w:bottom w:w="150" w:type="dxa"/>
              <w:end w:w="180" w:type="dxa"/>
            </w:tcMar>
          </w:tcPr>
          <w:p>
            <w:pPr>
              <w:spacing w:after="80"/>
            </w:pPr>
            <w:r>
              <w:rPr>
                <w:rFonts w:ascii="DejaVu Sans" w:hAnsi="DejaVu Sans"/>
                <w:b/>
                <w:color w:val="2E641D"/>
                <w:sz w:val="22"/>
              </w:rPr>
              <w:t>2. Développer motricité et activité physique</w:t>
            </w:r>
          </w:p>
          <w:p>
            <w:pPr>
              <w:spacing w:after="0"/>
            </w:pPr>
            <w:r>
              <w:rPr>
                <w:rFonts w:ascii="DejaVu Sans" w:hAnsi="DejaVu Sans"/>
                <w:b w:val="0"/>
                <w:color w:val="333333"/>
                <w:sz w:val="18"/>
              </w:rPr>
              <w:t>Équilibre, coordination, franchissement, déplacements sur supports mobiles, gestion de l’effort : les parcours sollicitent le corps de manière variée et permettent à chacun d’avancer à son rythme.</w:t>
            </w:r>
          </w:p>
        </w:tc>
      </w:tr>
    </w:tbl>
    <w:p>
      <w:pPr>
        <w:spacing w:after="20"/>
      </w:pPr>
    </w:p>
    <w:tbl>
      <w:tblPr>
        <w:tblW w:type="auto" w:w="0"/>
        <w:jc w:val="center"/>
        <w:tblLayout w:type="fixed"/>
        <w:tblLook w:firstColumn="1" w:firstRow="1" w:lastColumn="0" w:lastRow="0" w:noHBand="0" w:noVBand="1" w:val="04A0"/>
      </w:tblPr>
      <w:tblGrid>
        <w:gridCol w:w="9865"/>
      </w:tblGrid>
      <w:tr>
        <w:tc>
          <w:tcPr>
            <w:tcW w:type="dxa" w:w="10540"/>
            <w:shd w:fill="F3F6ED"/>
            <w:tcMar>
              <w:top w:w="150" w:type="dxa"/>
              <w:start w:w="180" w:type="dxa"/>
              <w:bottom w:w="150" w:type="dxa"/>
              <w:end w:w="180" w:type="dxa"/>
            </w:tcMar>
          </w:tcPr>
          <w:p>
            <w:pPr>
              <w:spacing w:after="80"/>
            </w:pPr>
            <w:r>
              <w:rPr>
                <w:rFonts w:ascii="DejaVu Sans" w:hAnsi="DejaVu Sans"/>
                <w:b/>
                <w:color w:val="2E641D"/>
                <w:sz w:val="22"/>
              </w:rPr>
              <w:t>3. S’adapter à un environnement inhabituel</w:t>
            </w:r>
          </w:p>
          <w:p>
            <w:pPr>
              <w:spacing w:after="0"/>
            </w:pPr>
            <w:r>
              <w:rPr>
                <w:rFonts w:ascii="DejaVu Sans" w:hAnsi="DejaVu Sans"/>
                <w:b w:val="0"/>
                <w:color w:val="333333"/>
                <w:sz w:val="18"/>
              </w:rPr>
              <w:t>La hauteur et la diversité des ateliers obligent à observer, anticiper et ajuster ses mouvements. L’élève expérimente une forme de déplacement différente de celle rencontrée dans son quotidien.</w:t>
            </w:r>
          </w:p>
        </w:tc>
      </w:tr>
    </w:tbl>
    <w:p>
      <w:pPr>
        <w:spacing w:after="20"/>
      </w:pPr>
    </w:p>
    <w:tbl>
      <w:tblPr>
        <w:tblW w:type="auto" w:w="0"/>
        <w:jc w:val="center"/>
        <w:tblLayout w:type="fixed"/>
        <w:tblLook w:firstColumn="1" w:firstRow="1" w:lastColumn="0" w:lastRow="0" w:noHBand="0" w:noVBand="1" w:val="04A0"/>
      </w:tblPr>
      <w:tblGrid>
        <w:gridCol w:w="9865"/>
      </w:tblGrid>
      <w:tr>
        <w:tc>
          <w:tcPr>
            <w:tcW w:type="dxa" w:w="10540"/>
            <w:shd w:fill="FFF9E7"/>
            <w:tcMar>
              <w:top w:w="150" w:type="dxa"/>
              <w:start w:w="180" w:type="dxa"/>
              <w:bottom w:w="150" w:type="dxa"/>
              <w:end w:w="180" w:type="dxa"/>
            </w:tcMar>
          </w:tcPr>
          <w:p>
            <w:pPr>
              <w:spacing w:after="80"/>
            </w:pPr>
            <w:r>
              <w:rPr>
                <w:rFonts w:ascii="DejaVu Sans" w:hAnsi="DejaVu Sans"/>
                <w:b/>
                <w:color w:val="2E641D"/>
                <w:sz w:val="22"/>
              </w:rPr>
              <w:t>4. Gérer l’appréhension et progresser</w:t>
            </w:r>
          </w:p>
          <w:p>
            <w:pPr>
              <w:spacing w:after="0"/>
            </w:pPr>
            <w:r>
              <w:rPr>
                <w:rFonts w:ascii="DejaVu Sans" w:hAnsi="DejaVu Sans"/>
                <w:b w:val="0"/>
                <w:color w:val="333333"/>
                <w:sz w:val="18"/>
              </w:rPr>
              <w:t>Face à une difficulté, l’élève peut observer, hésiter, essayer, demander conseil, recommencer ou choisir un parcours mieux adapté. L’objectif n’est pas la performance absolue mais une progression raisonnée et personnelle.</w:t>
            </w:r>
          </w:p>
        </w:tc>
      </w:tr>
    </w:tbl>
    <w:p>
      <w:pPr>
        <w:spacing w:after="20"/>
      </w:pPr>
    </w:p>
    <w:tbl>
      <w:tblPr>
        <w:tblW w:type="auto" w:w="0"/>
        <w:jc w:val="center"/>
        <w:tblLayout w:type="fixed"/>
        <w:tblLook w:firstColumn="1" w:firstRow="1" w:lastColumn="0" w:lastRow="0" w:noHBand="0" w:noVBand="1" w:val="04A0"/>
      </w:tblPr>
      <w:tblGrid>
        <w:gridCol w:w="9865"/>
      </w:tblGrid>
      <w:tr>
        <w:tc>
          <w:tcPr>
            <w:tcW w:type="dxa" w:w="10540"/>
            <w:shd w:fill="F3F6ED"/>
            <w:tcMar>
              <w:top w:w="150" w:type="dxa"/>
              <w:start w:w="180" w:type="dxa"/>
              <w:bottom w:w="150" w:type="dxa"/>
              <w:end w:w="180" w:type="dxa"/>
            </w:tcMar>
          </w:tcPr>
          <w:p>
            <w:pPr>
              <w:spacing w:after="80"/>
            </w:pPr>
            <w:r>
              <w:rPr>
                <w:rFonts w:ascii="DejaVu Sans" w:hAnsi="DejaVu Sans"/>
                <w:b/>
                <w:color w:val="2E641D"/>
                <w:sz w:val="22"/>
              </w:rPr>
              <w:t>5. Développer entraide et coopération</w:t>
            </w:r>
          </w:p>
          <w:p>
            <w:pPr>
              <w:spacing w:after="0"/>
            </w:pPr>
            <w:r>
              <w:rPr>
                <w:rFonts w:ascii="DejaVu Sans" w:hAnsi="DejaVu Sans"/>
                <w:b w:val="0"/>
                <w:color w:val="333333"/>
                <w:sz w:val="18"/>
              </w:rPr>
              <w:t>Les élèves s’encouragent, attendent un camarade, donnent un conseil ou rassurent quelqu’un qui hésite. La réussite peut devenir collective : réussir avec les autres plutôt que contre les autres.</w:t>
            </w:r>
          </w:p>
        </w:tc>
      </w:tr>
    </w:tbl>
    <w:p>
      <w:pPr>
        <w:spacing w:after="20"/>
      </w:pPr>
    </w:p>
    <w:tbl>
      <w:tblPr>
        <w:tblW w:type="auto" w:w="0"/>
        <w:jc w:val="center"/>
        <w:tblLayout w:type="fixed"/>
        <w:tblLook w:firstColumn="1" w:firstRow="1" w:lastColumn="0" w:lastRow="0" w:noHBand="0" w:noVBand="1" w:val="04A0"/>
      </w:tblPr>
      <w:tblGrid>
        <w:gridCol w:w="9865"/>
      </w:tblGrid>
      <w:tr>
        <w:tc>
          <w:tcPr>
            <w:tcW w:type="dxa" w:w="10540"/>
            <w:shd w:fill="FFF9E7"/>
            <w:tcMar>
              <w:top w:w="150" w:type="dxa"/>
              <w:start w:w="180" w:type="dxa"/>
              <w:bottom w:w="150" w:type="dxa"/>
              <w:end w:w="180" w:type="dxa"/>
            </w:tcMar>
          </w:tcPr>
          <w:p>
            <w:pPr>
              <w:spacing w:after="80"/>
            </w:pPr>
            <w:r>
              <w:rPr>
                <w:rFonts w:ascii="DejaVu Sans" w:hAnsi="DejaVu Sans"/>
                <w:b/>
                <w:color w:val="2E641D"/>
                <w:sz w:val="22"/>
              </w:rPr>
              <w:t>6. Découvrir les autres - et se découvrir - autrement</w:t>
            </w:r>
          </w:p>
          <w:p>
            <w:pPr>
              <w:spacing w:after="0"/>
            </w:pPr>
            <w:r>
              <w:rPr>
                <w:rFonts w:ascii="DejaVu Sans" w:hAnsi="DejaVu Sans"/>
                <w:b w:val="0"/>
                <w:color w:val="333333"/>
                <w:sz w:val="18"/>
              </w:rPr>
              <w:t>Une situation nouvelle révèle souvent des qualités peu visibles en classe : patience, courage, prudence, capacité à encourager, persévérance. L’enseignant peut également observer autrement les relations et les rôles au sein du groupe.</w:t>
            </w:r>
          </w:p>
        </w:tc>
      </w:tr>
    </w:tbl>
    <w:p>
      <w:pPr>
        <w:spacing w:after="20"/>
      </w:pPr>
    </w:p>
    <w:tbl>
      <w:tblPr>
        <w:tblW w:type="auto" w:w="0"/>
        <w:jc w:val="center"/>
        <w:tblLayout w:type="fixed"/>
        <w:tblLook w:firstColumn="1" w:firstRow="1" w:lastColumn="0" w:lastRow="0" w:noHBand="0" w:noVBand="1" w:val="04A0"/>
      </w:tblPr>
      <w:tblGrid>
        <w:gridCol w:w="9865"/>
      </w:tblGrid>
      <w:tr>
        <w:tc>
          <w:tcPr>
            <w:tcW w:type="dxa" w:w="10540"/>
            <w:shd w:fill="F3F6ED"/>
            <w:tcMar>
              <w:top w:w="150" w:type="dxa"/>
              <w:start w:w="180" w:type="dxa"/>
              <w:bottom w:w="150" w:type="dxa"/>
              <w:end w:w="180" w:type="dxa"/>
            </w:tcMar>
          </w:tcPr>
          <w:p>
            <w:pPr>
              <w:spacing w:after="80"/>
            </w:pPr>
            <w:r>
              <w:rPr>
                <w:rFonts w:ascii="DejaVu Sans" w:hAnsi="DejaVu Sans"/>
                <w:b/>
                <w:color w:val="2E641D"/>
                <w:sz w:val="22"/>
              </w:rPr>
              <w:t>7. Favoriser autonomie et responsabilisation</w:t>
            </w:r>
          </w:p>
          <w:p>
            <w:pPr>
              <w:spacing w:after="0"/>
            </w:pPr>
            <w:r>
              <w:rPr>
                <w:rFonts w:ascii="DejaVu Sans" w:hAnsi="DejaVu Sans"/>
                <w:b w:val="0"/>
                <w:color w:val="333333"/>
                <w:sz w:val="18"/>
              </w:rPr>
              <w:t>L’élève observe la situation, choisit comment progresser, contrôle son comportement et devient progressivement acteur de son déplacement, dans le cadre des règles et de la surveillance mises en place.</w:t>
            </w:r>
          </w:p>
        </w:tc>
      </w:tr>
    </w:tbl>
    <w:p>
      <w:pPr>
        <w:spacing w:after="20"/>
      </w:pPr>
    </w:p>
    <w:tbl>
      <w:tblPr>
        <w:tblW w:type="auto" w:w="0"/>
        <w:jc w:val="center"/>
        <w:tblLayout w:type="fixed"/>
        <w:tblLook w:firstColumn="1" w:firstRow="1" w:lastColumn="0" w:lastRow="0" w:noHBand="0" w:noVBand="1" w:val="04A0"/>
      </w:tblPr>
      <w:tblGrid>
        <w:gridCol w:w="9865"/>
      </w:tblGrid>
      <w:tr>
        <w:tc>
          <w:tcPr>
            <w:tcW w:type="dxa" w:w="10540"/>
            <w:shd w:fill="E8F1E3"/>
            <w:tcMar>
              <w:top w:w="150" w:type="dxa"/>
              <w:start w:w="180" w:type="dxa"/>
              <w:bottom w:w="150" w:type="dxa"/>
              <w:end w:w="180" w:type="dxa"/>
            </w:tcMar>
          </w:tcPr>
          <w:p>
            <w:pPr>
              <w:spacing w:after="80"/>
            </w:pPr>
            <w:r>
              <w:rPr>
                <w:rFonts w:ascii="DejaVu Sans" w:hAnsi="DejaVu Sans"/>
                <w:b/>
                <w:color w:val="2E641D"/>
                <w:sz w:val="22"/>
              </w:rPr>
              <w:t>À retenir</w:t>
            </w:r>
          </w:p>
          <w:p>
            <w:pPr>
              <w:spacing w:after="0"/>
            </w:pPr>
            <w:r>
              <w:rPr>
                <w:rFonts w:ascii="DejaVu Sans" w:hAnsi="DejaVu Sans"/>
                <w:b w:val="0"/>
                <w:color w:val="333333"/>
                <w:sz w:val="18"/>
              </w:rPr>
              <w:t>L’accrobranche n’a pas vocation à remplacer un cycle d’enseignement d’EPS. Il peut en revanche constituer une situation ponctuelle riche, au service d’objectifs définis par l’équipe pédagogique : activité physique, sécurité, autonomie, cohésion, responsabilisation et découverte d’un environnement de pleine nature.</w:t>
            </w:r>
          </w:p>
        </w:tc>
      </w:tr>
    </w:tbl>
    <w:p>
      <w:pPr>
        <w:spacing w:after="20"/>
      </w:pPr>
    </w:p>
    <w:p>
      <w:r>
        <w:br w:type="page"/>
      </w:r>
    </w:p>
    <w:p>
      <w:pPr>
        <w:pStyle w:val="Heading1"/>
        <w:keepNext/>
      </w:pPr>
      <w:r>
        <w:rPr>
          <w:rFonts w:ascii="DejaVu Sans" w:hAnsi="DejaVu Sans"/>
          <w:b/>
          <w:color w:val="2E641D"/>
          <w:sz w:val="36"/>
        </w:rPr>
        <w:t>Deux projets prêts à adapter</w:t>
      </w:r>
    </w:p>
    <w:p>
      <w:pPr>
        <w:pStyle w:val="Heading2"/>
        <w:keepNext/>
      </w:pPr>
      <w:r>
        <w:rPr>
          <w:rFonts w:ascii="DejaVu Sans" w:hAnsi="DejaVu Sans"/>
          <w:b/>
          <w:color w:val="6A260F"/>
          <w:sz w:val="25"/>
        </w:rPr>
        <w:t>Projet A - Journée de cohésion de rentrée</w:t>
      </w:r>
    </w:p>
    <w:tbl>
      <w:tblPr>
        <w:tblW w:type="auto" w:w="0"/>
        <w:jc w:val="center"/>
        <w:tblLayout w:type="fixed"/>
        <w:tblLook w:firstColumn="1" w:firstRow="1" w:lastColumn="0" w:lastRow="0" w:noHBand="0" w:noVBand="1" w:val="04A0"/>
      </w:tblPr>
      <w:tblGrid>
        <w:gridCol w:w="9865"/>
      </w:tblGrid>
      <w:tr>
        <w:tc>
          <w:tcPr>
            <w:tcW w:type="dxa" w:w="10540"/>
            <w:shd w:fill="EEF4E3"/>
            <w:tcMar>
              <w:top w:w="150" w:type="dxa"/>
              <w:start w:w="180" w:type="dxa"/>
              <w:bottom w:w="150" w:type="dxa"/>
              <w:end w:w="180" w:type="dxa"/>
            </w:tcMar>
          </w:tcPr>
          <w:p>
            <w:pPr>
              <w:spacing w:after="80"/>
            </w:pPr>
            <w:r>
              <w:rPr>
                <w:rFonts w:ascii="DejaVu Sans" w:hAnsi="DejaVu Sans"/>
                <w:b/>
                <w:color w:val="2E641D"/>
                <w:sz w:val="22"/>
              </w:rPr>
              <w:t>Intention</w:t>
            </w:r>
          </w:p>
          <w:p>
            <w:pPr>
              <w:spacing w:after="0"/>
            </w:pPr>
            <w:r>
              <w:rPr>
                <w:rFonts w:ascii="DejaVu Sans" w:hAnsi="DejaVu Sans"/>
                <w:b w:val="0"/>
                <w:color w:val="333333"/>
                <w:sz w:val="18"/>
              </w:rPr>
              <w:t>Créer rapidement des liens dans une classe nouvellement constituée et installer un climat de confiance, d’entraide et de respect.</w:t>
            </w:r>
          </w:p>
        </w:tc>
      </w:tr>
    </w:tbl>
    <w:p>
      <w:pPr>
        <w:spacing w:after="20"/>
      </w:pPr>
    </w:p>
    <w:p>
      <w:pPr>
        <w:pStyle w:val="ListBullet"/>
        <w:spacing w:after="60"/>
      </w:pPr>
      <w:r>
        <w:rPr>
          <w:rFonts w:ascii="DejaVu Sans" w:hAnsi="DejaVu Sans"/>
          <w:b w:val="0"/>
          <w:color w:val="333333"/>
          <w:sz w:val="18"/>
        </w:rPr>
        <w:t>Permettre aux élèves de faire connaissance hors du cadre habituel de la classe.</w:t>
      </w:r>
    </w:p>
    <w:p>
      <w:pPr>
        <w:pStyle w:val="ListBullet"/>
        <w:spacing w:after="60"/>
      </w:pPr>
      <w:r>
        <w:rPr>
          <w:rFonts w:ascii="DejaVu Sans" w:hAnsi="DejaVu Sans"/>
          <w:b w:val="0"/>
          <w:color w:val="333333"/>
          <w:sz w:val="18"/>
        </w:rPr>
        <w:t>Créer des occasions concrètes d’encouragement et d’entraide.</w:t>
      </w:r>
    </w:p>
    <w:p>
      <w:pPr>
        <w:pStyle w:val="ListBullet"/>
        <w:spacing w:after="60"/>
      </w:pPr>
      <w:r>
        <w:rPr>
          <w:rFonts w:ascii="DejaVu Sans" w:hAnsi="DejaVu Sans"/>
          <w:b w:val="0"/>
          <w:color w:val="333333"/>
          <w:sz w:val="18"/>
        </w:rPr>
        <w:t>Observer les dynamiques de groupe et les comportements dans une situation nouvelle.</w:t>
      </w:r>
    </w:p>
    <w:p>
      <w:pPr>
        <w:pStyle w:val="ListBullet"/>
        <w:spacing w:after="60"/>
      </w:pPr>
      <w:r>
        <w:rPr>
          <w:rFonts w:ascii="DejaVu Sans" w:hAnsi="DejaVu Sans"/>
          <w:b w:val="0"/>
          <w:color w:val="333333"/>
          <w:sz w:val="18"/>
        </w:rPr>
        <w:t>Valoriser des qualités différentes de celles habituellement visibles en classe.</w:t>
      </w:r>
    </w:p>
    <w:p>
      <w:pPr>
        <w:pStyle w:val="ListBullet"/>
        <w:spacing w:after="60"/>
      </w:pPr>
      <w:r>
        <w:rPr>
          <w:rFonts w:ascii="DejaVu Sans" w:hAnsi="DejaVu Sans"/>
          <w:b w:val="0"/>
          <w:color w:val="333333"/>
          <w:sz w:val="18"/>
        </w:rPr>
        <w:t>Faire vivre une expérience commune pouvant servir de référence au groupe pendant l’année.</w:t>
      </w:r>
    </w:p>
    <w:p>
      <w:pPr>
        <w:pStyle w:val="Heading2"/>
        <w:keepNext/>
      </w:pPr>
      <w:r>
        <w:rPr>
          <w:rFonts w:ascii="DejaVu Sans" w:hAnsi="DejaVu Sans"/>
          <w:b/>
          <w:color w:val="6A260F"/>
          <w:sz w:val="25"/>
        </w:rPr>
        <w:t>Projet B - Sortie de fin d’année</w:t>
      </w:r>
    </w:p>
    <w:tbl>
      <w:tblPr>
        <w:tblW w:type="auto" w:w="0"/>
        <w:jc w:val="center"/>
        <w:tblLayout w:type="fixed"/>
        <w:tblLook w:firstColumn="1" w:firstRow="1" w:lastColumn="0" w:lastRow="0" w:noHBand="0" w:noVBand="1" w:val="04A0"/>
      </w:tblPr>
      <w:tblGrid>
        <w:gridCol w:w="9865"/>
      </w:tblGrid>
      <w:tr>
        <w:tc>
          <w:tcPr>
            <w:tcW w:type="dxa" w:w="10540"/>
            <w:shd w:fill="FFF6D7"/>
            <w:tcMar>
              <w:top w:w="150" w:type="dxa"/>
              <w:start w:w="180" w:type="dxa"/>
              <w:bottom w:w="150" w:type="dxa"/>
              <w:end w:w="180" w:type="dxa"/>
            </w:tcMar>
          </w:tcPr>
          <w:p>
            <w:pPr>
              <w:spacing w:after="80"/>
            </w:pPr>
            <w:r>
              <w:rPr>
                <w:rFonts w:ascii="DejaVu Sans" w:hAnsi="DejaVu Sans"/>
                <w:b/>
                <w:color w:val="2E641D"/>
                <w:sz w:val="22"/>
              </w:rPr>
              <w:t>Intention</w:t>
            </w:r>
          </w:p>
          <w:p>
            <w:pPr>
              <w:spacing w:after="0"/>
            </w:pPr>
            <w:r>
              <w:rPr>
                <w:rFonts w:ascii="DejaVu Sans" w:hAnsi="DejaVu Sans"/>
                <w:b w:val="0"/>
                <w:color w:val="333333"/>
                <w:sz w:val="18"/>
              </w:rPr>
              <w:t>Clore l’année par une expérience collective active, valorisante et fédératrice, permettant aux élèves de partager un dernier projet commun.</w:t>
            </w:r>
          </w:p>
        </w:tc>
      </w:tr>
    </w:tbl>
    <w:p>
      <w:pPr>
        <w:spacing w:after="20"/>
      </w:pPr>
    </w:p>
    <w:p>
      <w:pPr>
        <w:pStyle w:val="ListBullet"/>
        <w:spacing w:after="60"/>
      </w:pPr>
      <w:r>
        <w:rPr>
          <w:rFonts w:ascii="DejaVu Sans" w:hAnsi="DejaVu Sans"/>
          <w:b w:val="0"/>
          <w:color w:val="333333"/>
          <w:sz w:val="18"/>
        </w:rPr>
        <w:t>Mobiliser les élèves autour d’un défi accessible et progressif.</w:t>
      </w:r>
    </w:p>
    <w:p>
      <w:pPr>
        <w:pStyle w:val="ListBullet"/>
        <w:spacing w:after="60"/>
      </w:pPr>
      <w:r>
        <w:rPr>
          <w:rFonts w:ascii="DejaVu Sans" w:hAnsi="DejaVu Sans"/>
          <w:b w:val="0"/>
          <w:color w:val="333333"/>
          <w:sz w:val="18"/>
        </w:rPr>
        <w:t>Valoriser les progrès, la persévérance et le dépassement personnel.</w:t>
      </w:r>
    </w:p>
    <w:p>
      <w:pPr>
        <w:pStyle w:val="ListBullet"/>
        <w:spacing w:after="60"/>
      </w:pPr>
      <w:r>
        <w:rPr>
          <w:rFonts w:ascii="DejaVu Sans" w:hAnsi="DejaVu Sans"/>
          <w:b w:val="0"/>
          <w:color w:val="333333"/>
          <w:sz w:val="18"/>
        </w:rPr>
        <w:t>Renforcer les liens construits au cours de l’année.</w:t>
      </w:r>
    </w:p>
    <w:p>
      <w:pPr>
        <w:pStyle w:val="ListBullet"/>
        <w:spacing w:after="60"/>
      </w:pPr>
      <w:r>
        <w:rPr>
          <w:rFonts w:ascii="DejaVu Sans" w:hAnsi="DejaVu Sans"/>
          <w:b w:val="0"/>
          <w:color w:val="333333"/>
          <w:sz w:val="18"/>
        </w:rPr>
        <w:t>Associer activité physique, plein air et moment collectif positif.</w:t>
      </w:r>
    </w:p>
    <w:p>
      <w:pPr>
        <w:pStyle w:val="ListBullet"/>
        <w:spacing w:after="60"/>
      </w:pPr>
      <w:r>
        <w:rPr>
          <w:rFonts w:ascii="DejaVu Sans" w:hAnsi="DejaVu Sans"/>
          <w:b w:val="0"/>
          <w:color w:val="333333"/>
          <w:sz w:val="18"/>
        </w:rPr>
        <w:t>Créer un souvenir commun qui marque la fin de l’année scolaire.</w:t>
      </w:r>
    </w:p>
    <w:p>
      <w:pPr>
        <w:pStyle w:val="Heading2"/>
        <w:keepNext/>
      </w:pPr>
      <w:r>
        <w:rPr>
          <w:rFonts w:ascii="DejaVu Sans" w:hAnsi="DejaVu Sans"/>
          <w:b/>
          <w:color w:val="6A260F"/>
          <w:sz w:val="25"/>
        </w:rPr>
        <w:t>Paragraphe prêt à intégrer dans un dossier de sortie</w:t>
      </w:r>
    </w:p>
    <w:tbl>
      <w:tblPr>
        <w:tblW w:type="auto" w:w="0"/>
        <w:jc w:val="center"/>
        <w:tblLayout w:type="fixed"/>
        <w:tblLook w:firstColumn="1" w:firstRow="1" w:lastColumn="0" w:lastRow="0" w:noHBand="0" w:noVBand="1" w:val="04A0"/>
      </w:tblPr>
      <w:tblGrid>
        <w:gridCol w:w="9865"/>
      </w:tblGrid>
      <w:tr>
        <w:tc>
          <w:tcPr>
            <w:tcW w:type="dxa" w:w="10540"/>
            <w:shd w:fill="E9F1E5"/>
            <w:tcMar>
              <w:top w:w="150" w:type="dxa"/>
              <w:start w:w="180" w:type="dxa"/>
              <w:bottom w:w="150" w:type="dxa"/>
              <w:end w:w="180" w:type="dxa"/>
            </w:tcMar>
          </w:tcPr>
          <w:p>
            <w:pPr>
              <w:spacing w:after="80"/>
            </w:pPr>
            <w:r>
              <w:rPr>
                <w:rFonts w:ascii="DejaVu Sans" w:hAnsi="DejaVu Sans"/>
                <w:b/>
                <w:color w:val="2E641D"/>
                <w:sz w:val="22"/>
              </w:rPr>
              <w:t>Texte à copier / adapter</w:t>
            </w:r>
          </w:p>
          <w:p>
            <w:pPr>
              <w:spacing w:after="0"/>
            </w:pPr>
            <w:r>
              <w:rPr>
                <w:rFonts w:ascii="DejaVu Sans" w:hAnsi="DejaVu Sans"/>
                <w:b w:val="0"/>
                <w:color w:val="333333"/>
                <w:sz w:val="18"/>
              </w:rPr>
              <w:t>Cette sortie en parcours acrobatique en hauteur a pour objectif de placer les élèves dans une situation physique et collective inhabituelle, propice au développement de l’autonomie, de la responsabilisation et de la coopération. Les participants devront écouter et appliquer des consignes, adapter leurs déplacements aux différents ateliers, gérer leur appréhension et progresser à leur rythme. L’activité favorisera également l’entraide, les encouragements et la découverte des camarades dans un contexte différent de celui de la classe. Elle s’inscrit ainsi dans une démarche éducative associant activité physique, respect des règles, sécurité, cohésion du groupe et confiance en soi.</w:t>
            </w:r>
          </w:p>
        </w:tc>
      </w:tr>
    </w:tbl>
    <w:p>
      <w:pPr>
        <w:spacing w:after="20"/>
      </w:pPr>
    </w:p>
    <w:p>
      <w:pPr>
        <w:pStyle w:val="Heading2"/>
        <w:keepNext/>
      </w:pPr>
      <w:r>
        <w:rPr>
          <w:rFonts w:ascii="DejaVu Sans" w:hAnsi="DejaVu Sans"/>
          <w:b/>
          <w:color w:val="6A260F"/>
          <w:sz w:val="25"/>
        </w:rPr>
        <w:t>Pistes d’exploitation avant et après la sortie</w:t>
      </w:r>
    </w:p>
    <w:p>
      <w:pPr>
        <w:pStyle w:val="ListBullet"/>
        <w:spacing w:after="60"/>
      </w:pPr>
      <w:r>
        <w:rPr>
          <w:rFonts w:ascii="DejaVu Sans" w:hAnsi="DejaVu Sans"/>
          <w:b w:val="0"/>
          <w:color w:val="333333"/>
          <w:sz w:val="18"/>
        </w:rPr>
        <w:t>Avant : identifier collectivement les règles nécessaires à une pratique responsable et les comportements d’entraide attendus.</w:t>
      </w:r>
    </w:p>
    <w:p>
      <w:pPr>
        <w:pStyle w:val="ListBullet"/>
        <w:spacing w:after="60"/>
      </w:pPr>
      <w:r>
        <w:rPr>
          <w:rFonts w:ascii="DejaVu Sans" w:hAnsi="DejaVu Sans"/>
          <w:b w:val="0"/>
          <w:color w:val="333333"/>
          <w:sz w:val="18"/>
        </w:rPr>
        <w:t>Pendant : observer les stratégies de progression, l’écoute des consignes et les formes de coopération.</w:t>
      </w:r>
    </w:p>
    <w:p>
      <w:pPr>
        <w:pStyle w:val="ListBullet"/>
        <w:spacing w:after="60"/>
      </w:pPr>
      <w:r>
        <w:rPr>
          <w:rFonts w:ascii="DejaVu Sans" w:hAnsi="DejaVu Sans"/>
          <w:b w:val="0"/>
          <w:color w:val="333333"/>
          <w:sz w:val="18"/>
        </w:rPr>
        <w:t>Après : retour d’expérience oral ou écrit - difficulté rencontrée, stratégie utilisée, aide reçue ou apportée, réussite dont l’élève est fier.</w:t>
      </w:r>
    </w:p>
    <w:p>
      <w:pPr>
        <w:pStyle w:val="ListBullet"/>
        <w:spacing w:after="60"/>
      </w:pPr>
      <w:r>
        <w:rPr>
          <w:rFonts w:ascii="DejaVu Sans" w:hAnsi="DejaVu Sans"/>
          <w:b w:val="0"/>
          <w:color w:val="333333"/>
          <w:sz w:val="18"/>
        </w:rPr>
        <w:t>Vie de classe : réinvestir les exemples d’entraide ou de persévérance observés pendant la sortie.</w:t>
      </w:r>
    </w:p>
    <w:p>
      <w:r>
        <w:br w:type="page"/>
      </w:r>
    </w:p>
    <w:p>
      <w:pPr>
        <w:pStyle w:val="Heading1"/>
        <w:keepNext/>
      </w:pPr>
      <w:r>
        <w:rPr>
          <w:rFonts w:ascii="DejaVu Sans" w:hAnsi="DejaVu Sans"/>
          <w:b/>
          <w:color w:val="2E641D"/>
          <w:sz w:val="36"/>
        </w:rPr>
        <w:t>Fiche pratique - Passerelles des Cimes</w:t>
      </w:r>
    </w:p>
    <w:tbl>
      <w:tblPr>
        <w:tblW w:type="auto" w:w="0"/>
        <w:jc w:val="center"/>
        <w:tblLayout w:type="fixed"/>
        <w:tblLook w:firstColumn="1" w:firstRow="1" w:lastColumn="0" w:lastRow="0" w:noHBand="0" w:noVBand="1" w:val="04A0"/>
      </w:tblPr>
      <w:tblGrid>
        <w:gridCol w:w="5499"/>
        <w:gridCol w:w="4252"/>
      </w:tblGrid>
      <w:tr>
        <w:tc>
          <w:tcPr>
            <w:tcW w:type="dxa" w:w="5270"/>
            <w:tcMar>
              <w:top w:w="100" w:type="dxa"/>
              <w:start w:w="120" w:type="dxa"/>
              <w:bottom w:w="100" w:type="dxa"/>
              <w:end w:w="120" w:type="dxa"/>
            </w:tcMar>
          </w:tcPr>
          <w:p>
            <w:r>
              <w:rPr>
                <w:rFonts w:ascii="DejaVu Sans" w:hAnsi="DejaVu Sans"/>
                <w:b/>
                <w:color w:val="2E641D"/>
                <w:sz w:val="24"/>
              </w:rPr>
              <w:t>Organisation d’une sortie scolaire</w:t>
            </w:r>
          </w:p>
          <w:p>
            <w:pPr>
              <w:spacing w:after="60"/>
            </w:pPr>
            <w:r>
              <w:rPr>
                <w:rFonts w:ascii="DejaVu Sans" w:hAnsi="DejaVu Sans"/>
                <w:b/>
                <w:color w:val="6A260F"/>
                <w:sz w:val="18"/>
              </w:rPr>
              <w:t xml:space="preserve">Public : </w:t>
            </w:r>
            <w:r>
              <w:rPr>
                <w:rFonts w:ascii="DejaVu Sans" w:hAnsi="DejaVu Sans"/>
                <w:b w:val="0"/>
                <w:color w:val="333333"/>
                <w:sz w:val="18"/>
              </w:rPr>
              <w:t>Collèges et lycées. Des établissements primaires privés peuvent également nous consulter selon leur projet.</w:t>
            </w:r>
          </w:p>
          <w:p>
            <w:pPr>
              <w:spacing w:after="60"/>
            </w:pPr>
            <w:r>
              <w:rPr>
                <w:rFonts w:ascii="DejaVu Sans" w:hAnsi="DejaVu Sans"/>
                <w:b/>
                <w:color w:val="6A260F"/>
                <w:sz w:val="18"/>
              </w:rPr>
              <w:t xml:space="preserve">Durée indicative : </w:t>
            </w:r>
            <w:r>
              <w:rPr>
                <w:rFonts w:ascii="DejaVu Sans" w:hAnsi="DejaVu Sans"/>
                <w:b w:val="0"/>
                <w:color w:val="333333"/>
                <w:sz w:val="18"/>
              </w:rPr>
              <w:t>Environ 2 heures d’activité.</w:t>
            </w:r>
          </w:p>
          <w:p>
            <w:pPr>
              <w:spacing w:after="60"/>
            </w:pPr>
            <w:r>
              <w:rPr>
                <w:rFonts w:ascii="DejaVu Sans" w:hAnsi="DejaVu Sans"/>
                <w:b/>
                <w:color w:val="6A260F"/>
                <w:sz w:val="18"/>
              </w:rPr>
              <w:t xml:space="preserve">Créneaux possibles : </w:t>
            </w:r>
            <w:r>
              <w:rPr>
                <w:rFonts w:ascii="DejaVu Sans" w:hAnsi="DejaVu Sans"/>
                <w:b w:val="0"/>
                <w:color w:val="333333"/>
                <w:sz w:val="18"/>
              </w:rPr>
              <w:t>Accueil entre 9 h et 15 h. Le plus souvent : arrivée le matin entre 9 h et 10 h 30, fin entre 12 h et 13 h ; ou arrivée l’après-midi entre 13 h et 15 h, fin entre 16 h et 17 h.</w:t>
            </w:r>
          </w:p>
          <w:p>
            <w:pPr>
              <w:spacing w:after="60"/>
            </w:pPr>
            <w:r>
              <w:rPr>
                <w:rFonts w:ascii="DejaVu Sans" w:hAnsi="DejaVu Sans"/>
                <w:b/>
                <w:color w:val="6A260F"/>
                <w:sz w:val="18"/>
              </w:rPr>
              <w:t xml:space="preserve">Période : </w:t>
            </w:r>
            <w:r>
              <w:rPr>
                <w:rFonts w:ascii="DejaVu Sans" w:hAnsi="DejaVu Sans"/>
                <w:b w:val="0"/>
                <w:color w:val="333333"/>
                <w:sz w:val="18"/>
              </w:rPr>
              <w:t>De début avril à la fin des vacances d’octobre, selon le calendrier d’ouverture du parc. Possibilité également le week-end.</w:t>
            </w:r>
          </w:p>
          <w:p>
            <w:pPr>
              <w:spacing w:after="60"/>
            </w:pPr>
            <w:r>
              <w:rPr>
                <w:rFonts w:ascii="DejaVu Sans" w:hAnsi="DejaVu Sans"/>
                <w:b/>
                <w:color w:val="6A260F"/>
                <w:sz w:val="18"/>
              </w:rPr>
              <w:t xml:space="preserve">Effectif : </w:t>
            </w:r>
            <w:r>
              <w:rPr>
                <w:rFonts w:ascii="DejaVu Sans" w:hAnsi="DejaVu Sans"/>
                <w:b w:val="0"/>
                <w:color w:val="333333"/>
                <w:sz w:val="18"/>
              </w:rPr>
              <w:t>Minimum de facturation correspondant à 25 élèves pour une ouverture dédiée. Groupes moins nombreux possibles lorsque le parc est déjà ouvert.</w:t>
            </w:r>
          </w:p>
          <w:p>
            <w:pPr>
              <w:spacing w:after="60"/>
            </w:pPr>
            <w:r>
              <w:rPr>
                <w:rFonts w:ascii="DejaVu Sans" w:hAnsi="DejaVu Sans"/>
                <w:b/>
                <w:color w:val="6A260F"/>
                <w:sz w:val="18"/>
              </w:rPr>
              <w:t xml:space="preserve">Accompagnateurs : </w:t>
            </w:r>
            <w:r>
              <w:rPr>
                <w:rFonts w:ascii="DejaVu Sans" w:hAnsi="DejaVu Sans"/>
                <w:b w:val="0"/>
                <w:color w:val="333333"/>
                <w:sz w:val="18"/>
              </w:rPr>
              <w:t>Les professeurs et accompagnateurs peuvent participer et monter sur les parcours.</w:t>
            </w:r>
          </w:p>
          <w:p>
            <w:pPr>
              <w:spacing w:after="60"/>
            </w:pPr>
            <w:r>
              <w:rPr>
                <w:rFonts w:ascii="DejaVu Sans" w:hAnsi="DejaVu Sans"/>
                <w:b/>
                <w:color w:val="6A260F"/>
                <w:sz w:val="18"/>
              </w:rPr>
              <w:t xml:space="preserve">Autocars : </w:t>
            </w:r>
            <w:r>
              <w:rPr>
                <w:rFonts w:ascii="DejaVu Sans" w:hAnsi="DejaVu Sans"/>
                <w:b w:val="0"/>
                <w:color w:val="333333"/>
                <w:sz w:val="18"/>
              </w:rPr>
              <w:t>Le parking permet l’accueil des autocars.</w:t>
            </w:r>
          </w:p>
          <w:p>
            <w:pPr>
              <w:spacing w:after="60"/>
            </w:pPr>
            <w:r>
              <w:rPr>
                <w:rFonts w:ascii="DejaVu Sans" w:hAnsi="DejaVu Sans"/>
                <w:b/>
                <w:color w:val="6A260F"/>
                <w:sz w:val="18"/>
              </w:rPr>
              <w:t xml:space="preserve">Tarif scolaire 2026 : </w:t>
            </w:r>
            <w:r>
              <w:rPr>
                <w:rFonts w:ascii="DejaVu Sans" w:hAnsi="DejaVu Sans"/>
                <w:b w:val="0"/>
                <w:color w:val="333333"/>
                <w:sz w:val="18"/>
              </w:rPr>
              <w:t>14 € / élève - accompagnateurs gratuits.</w:t>
            </w:r>
          </w:p>
        </w:tc>
        <w:tc>
          <w:tcPr>
            <w:tcW w:type="dxa" w:w="5270"/>
            <w:vAlign w:val="top"/>
          </w:tcPr>
          <w:p>
            <w:pPr>
              <w:jc w:val="center"/>
            </w:pPr>
            <w:r>
              <w:drawing>
                <wp:inline xmlns:a="http://schemas.openxmlformats.org/drawingml/2006/main" xmlns:pic="http://schemas.openxmlformats.org/drawingml/2006/picture">
                  <wp:extent cx="2088000" cy="3132765"/>
                  <wp:docPr id="3" name="Picture 3"/>
                  <wp:cNvGraphicFramePr>
                    <a:graphicFrameLocks noChangeAspect="1"/>
                  </wp:cNvGraphicFramePr>
                  <a:graphic>
                    <a:graphicData uri="http://schemas.openxmlformats.org/drawingml/2006/picture">
                      <pic:pic>
                        <pic:nvPicPr>
                          <pic:cNvPr id="0" name="10 06 26 Passerelles des cîmes (123) web.jpg"/>
                          <pic:cNvPicPr/>
                        </pic:nvPicPr>
                        <pic:blipFill>
                          <a:blip r:embed="rId12"/>
                          <a:stretch>
                            <a:fillRect/>
                          </a:stretch>
                        </pic:blipFill>
                        <pic:spPr>
                          <a:xfrm>
                            <a:off x="0" y="0"/>
                            <a:ext cx="2088000" cy="3132765"/>
                          </a:xfrm>
                          <a:prstGeom prst="rect"/>
                        </pic:spPr>
                      </pic:pic>
                    </a:graphicData>
                  </a:graphic>
                </wp:inline>
              </w:drawing>
            </w:r>
          </w:p>
          <w:p>
            <w:pPr>
              <w:jc w:val="center"/>
            </w:pPr>
            <w:r>
              <w:drawing>
                <wp:inline xmlns:a="http://schemas.openxmlformats.org/drawingml/2006/main" xmlns:pic="http://schemas.openxmlformats.org/drawingml/2006/picture">
                  <wp:extent cx="1152000" cy="1152000"/>
                  <wp:docPr id="4" name="Picture 4"/>
                  <wp:cNvGraphicFramePr>
                    <a:graphicFrameLocks noChangeAspect="1"/>
                  </wp:cNvGraphicFramePr>
                  <a:graphic>
                    <a:graphicData uri="http://schemas.openxmlformats.org/drawingml/2006/picture">
                      <pic:pic>
                        <pic:nvPicPr>
                          <pic:cNvPr id="0" name="logo1200-fond-blanc(1).png"/>
                          <pic:cNvPicPr/>
                        </pic:nvPicPr>
                        <pic:blipFill>
                          <a:blip r:embed="rId10"/>
                          <a:stretch>
                            <a:fillRect/>
                          </a:stretch>
                        </pic:blipFill>
                        <pic:spPr>
                          <a:xfrm>
                            <a:off x="0" y="0"/>
                            <a:ext cx="1152000" cy="1152000"/>
                          </a:xfrm>
                          <a:prstGeom prst="rect"/>
                        </pic:spPr>
                      </pic:pic>
                    </a:graphicData>
                  </a:graphic>
                </wp:inline>
              </w:drawing>
            </w:r>
          </w:p>
        </w:tc>
      </w:tr>
    </w:tbl>
    <w:p>
      <w:pPr>
        <w:pStyle w:val="Heading2"/>
        <w:keepNext/>
      </w:pPr>
      <w:r>
        <w:rPr>
          <w:rFonts w:ascii="DejaVu Sans" w:hAnsi="DejaVu Sans"/>
          <w:b/>
          <w:color w:val="6A260F"/>
          <w:sz w:val="25"/>
        </w:rPr>
        <w:t>Sécurité et déroulement</w:t>
      </w:r>
    </w:p>
    <w:p>
      <w:pPr>
        <w:pStyle w:val="ListBullet"/>
        <w:spacing w:after="60"/>
      </w:pPr>
      <w:r>
        <w:rPr>
          <w:rFonts w:ascii="DejaVu Sans" w:hAnsi="DejaVu Sans"/>
          <w:b w:val="0"/>
          <w:color w:val="333333"/>
          <w:sz w:val="18"/>
        </w:rPr>
        <w:t>Équipement des participants puis briefing de sécurité avant l’accès aux parcours.</w:t>
      </w:r>
    </w:p>
    <w:p>
      <w:pPr>
        <w:pStyle w:val="ListBullet"/>
        <w:spacing w:after="60"/>
      </w:pPr>
      <w:r>
        <w:rPr>
          <w:rFonts w:ascii="DejaVu Sans" w:hAnsi="DejaVu Sans"/>
          <w:b w:val="0"/>
          <w:color w:val="333333"/>
          <w:sz w:val="18"/>
        </w:rPr>
        <w:t>Parcours test avant le départ sur les parcours principaux.</w:t>
      </w:r>
    </w:p>
    <w:p>
      <w:pPr>
        <w:pStyle w:val="ListBullet"/>
        <w:spacing w:after="60"/>
      </w:pPr>
      <w:r>
        <w:rPr>
          <w:rFonts w:ascii="DejaVu Sans" w:hAnsi="DejaVu Sans"/>
          <w:b w:val="0"/>
          <w:color w:val="333333"/>
          <w:sz w:val="18"/>
        </w:rPr>
        <w:t>Système de sécurité continu permettant de rester attaché pendant la progression.</w:t>
      </w:r>
    </w:p>
    <w:p>
      <w:pPr>
        <w:pStyle w:val="ListBullet"/>
        <w:spacing w:after="60"/>
      </w:pPr>
      <w:r>
        <w:rPr>
          <w:rFonts w:ascii="DejaVu Sans" w:hAnsi="DejaVu Sans"/>
          <w:b w:val="0"/>
          <w:color w:val="333333"/>
          <w:sz w:val="18"/>
        </w:rPr>
        <w:t>Surveillance active par l’équipe du parc et assistance si nécessaire.</w:t>
      </w:r>
    </w:p>
    <w:p>
      <w:pPr>
        <w:pStyle w:val="ListBullet"/>
        <w:spacing w:after="60"/>
      </w:pPr>
      <w:r>
        <w:rPr>
          <w:rFonts w:ascii="DejaVu Sans" w:hAnsi="DejaVu Sans"/>
          <w:b w:val="0"/>
          <w:color w:val="333333"/>
          <w:sz w:val="18"/>
        </w:rPr>
        <w:t>Les parcours permettent une progression adaptée au niveau et aux capacités de chacun.</w:t>
      </w:r>
    </w:p>
    <w:tbl>
      <w:tblPr>
        <w:tblW w:type="auto" w:w="0"/>
        <w:jc w:val="center"/>
        <w:tblLayout w:type="fixed"/>
        <w:tblLook w:firstColumn="1" w:firstRow="1" w:lastColumn="0" w:lastRow="0" w:noHBand="0" w:noVBand="1" w:val="04A0"/>
      </w:tblPr>
      <w:tblGrid>
        <w:gridCol w:w="9865"/>
      </w:tblGrid>
      <w:tr>
        <w:tc>
          <w:tcPr>
            <w:tcW w:type="dxa" w:w="10540"/>
            <w:shd w:fill="2F6B24"/>
            <w:tcMar>
              <w:top w:w="150" w:type="dxa"/>
              <w:start w:w="180" w:type="dxa"/>
              <w:bottom w:w="150" w:type="dxa"/>
              <w:end w:w="180" w:type="dxa"/>
            </w:tcMar>
          </w:tcPr>
          <w:p>
            <w:pPr>
              <w:spacing w:after="80"/>
            </w:pPr>
            <w:r>
              <w:rPr>
                <w:rFonts w:ascii="DejaVu Sans" w:hAnsi="DejaVu Sans"/>
                <w:b/>
                <w:color w:val="FFFFFF"/>
                <w:sz w:val="22"/>
              </w:rPr>
              <w:t>Contact groupes scolaires</w:t>
            </w:r>
          </w:p>
          <w:p>
            <w:pPr>
              <w:spacing w:after="0"/>
            </w:pPr>
            <w:r>
              <w:rPr>
                <w:rFonts w:ascii="DejaVu Sans" w:hAnsi="DejaVu Sans"/>
                <w:b w:val="0"/>
                <w:color w:val="FFFFFF"/>
                <w:sz w:val="18"/>
              </w:rPr>
              <w:t>Passerelles des Cimes - Lagnes, Vaucluse</w:t>
              <w:br/>
              <w:t>Téléphone : 04 90 38 56 87</w:t>
              <w:br/>
              <w:t>E-mail : parcours@accrobranche-vaucluse.com</w:t>
              <w:br/>
              <w:t>Site : accrobranche-vaucluse.com</w:t>
              <w:br/>
              <w:t>Pour les dates et horaires d’ouverture à jour, consulter le calendrier d’ouverture sur le site.</w:t>
            </w:r>
          </w:p>
        </w:tc>
      </w:tr>
    </w:tbl>
    <w:p>
      <w:pPr>
        <w:spacing w:after="20"/>
      </w:pPr>
    </w:p>
    <w:p>
      <w:pPr>
        <w:spacing w:before="100" w:after="40"/>
      </w:pPr>
      <w:r>
        <w:rPr>
          <w:rFonts w:ascii="DejaVu Sans" w:hAnsi="DejaVu Sans"/>
          <w:b/>
          <w:color w:val="6A260F"/>
          <w:sz w:val="18"/>
        </w:rPr>
        <w:t>REPÈRES INSTITUTIONNELS ET RÉGLEMENTAIRES</w:t>
      </w:r>
    </w:p>
    <w:p>
      <w:pPr>
        <w:spacing w:after="20"/>
      </w:pPr>
      <w:r>
        <w:rPr>
          <w:rFonts w:ascii="DejaVu Sans" w:hAnsi="DejaVu Sans"/>
          <w:b w:val="0"/>
          <w:color w:val="555555"/>
          <w:sz w:val="13"/>
        </w:rPr>
        <w:t>Éducation nationale : sécurité dans les activités physiques de pleine nature, adaptation à des environnements variés et responsabilisation. Éduscol : EPS et adaptation des déplacements à des environnements variés/incertains. DGCCRF : obligations applicables aux parcours acrobatiques en hauteur et information sur les consignes de sécurité.</w:t>
      </w:r>
    </w:p>
    <w:p>
      <w:pPr>
        <w:spacing w:before="20"/>
      </w:pPr>
      <w:r>
        <w:rPr>
          <w:rFonts w:ascii="DejaVu Sans" w:hAnsi="DejaVu Sans"/>
          <w:b/>
          <w:color w:val="777777"/>
          <w:sz w:val="13"/>
        </w:rPr>
        <w:t>Document d’aide à la préparation d’un projet. L’établissement reste responsable des objectifs pédagogiques et des autorisations nécessaires à la sortie.</w:t>
      </w:r>
    </w:p>
    <w:sectPr w:rsidR="00FC693F" w:rsidRPr="0006063C" w:rsidSect="00034616">
      <w:footerReference w:type="default" r:id="rId9"/>
      <w:pgSz w:w="12240" w:h="15840"/>
      <w:pgMar w:top="680"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b w:val="0"/>
        <w:color w:val="555555"/>
        <w:sz w:val="15"/>
      </w:rPr>
      <w:t>Passerelles des Cimes - Lagnes (Vaucluse)  |  04 90 38 56 87  |  parcours@accrobranche-vaucluse.com  |  accrobranche-vaucluse.com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ans" w:hAnsi="DejaVu San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DejaVu Sans" w:hAnsi="DejaVu Sa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